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268" w:rsidRPr="00317596" w:rsidRDefault="00BA364B" w:rsidP="00317596">
      <w:pPr>
        <w:jc w:val="center"/>
        <w:rPr>
          <w:i/>
        </w:rPr>
      </w:pPr>
      <w:r w:rsidRPr="00317596">
        <w:rPr>
          <w:i/>
        </w:rPr>
        <w:t>MYSTERY NUMBERS</w:t>
      </w:r>
    </w:p>
    <w:p w:rsidR="00BA364B" w:rsidRDefault="00BA364B">
      <w:r>
        <w:t>Place a mystery card on the back of each student so that other students can see it, but not the student him/herself.</w:t>
      </w:r>
    </w:p>
    <w:p w:rsidR="00BA364B" w:rsidRDefault="00BA364B">
      <w:r>
        <w:t>The challenge is for the student to guess what is displayed on his/her back by asking questions which may be answered “Yes” or “No”</w:t>
      </w:r>
    </w:p>
    <w:p w:rsidR="00BA364B" w:rsidRDefault="00BA364B">
      <w:r>
        <w:t>Rules:</w:t>
      </w:r>
    </w:p>
    <w:p w:rsidR="00BA364B" w:rsidRDefault="00BA364B" w:rsidP="00BA364B">
      <w:pPr>
        <w:pStyle w:val="ListParagraph"/>
        <w:numPr>
          <w:ilvl w:val="0"/>
          <w:numId w:val="1"/>
        </w:numPr>
      </w:pPr>
      <w:r>
        <w:t>You can only ask questions which may be answered “Yes” or “No”.</w:t>
      </w:r>
    </w:p>
    <w:p w:rsidR="00BA364B" w:rsidRDefault="00BA364B" w:rsidP="00BA364B">
      <w:pPr>
        <w:pStyle w:val="ListParagraph"/>
        <w:numPr>
          <w:ilvl w:val="0"/>
          <w:numId w:val="1"/>
        </w:numPr>
      </w:pPr>
      <w:r>
        <w:t>You may ask only one question to each person.</w:t>
      </w:r>
    </w:p>
    <w:p w:rsidR="005A2E8E" w:rsidRDefault="005A2E8E" w:rsidP="00BA364B">
      <w:pPr>
        <w:pStyle w:val="ListParagraph"/>
        <w:numPr>
          <w:ilvl w:val="0"/>
          <w:numId w:val="1"/>
        </w:numPr>
      </w:pPr>
      <w:r>
        <w:t>Before you ask another student a question, you must first ask their name.</w:t>
      </w:r>
      <w:bookmarkStart w:id="0" w:name="_GoBack"/>
      <w:bookmarkEnd w:id="0"/>
    </w:p>
    <w:p w:rsidR="00BA364B" w:rsidRDefault="00BA364B" w:rsidP="00BA364B">
      <w:pPr>
        <w:pStyle w:val="ListParagraph"/>
        <w:numPr>
          <w:ilvl w:val="0"/>
          <w:numId w:val="1"/>
        </w:numPr>
      </w:pPr>
      <w:r>
        <w:t>You may ask no more than two questions which focus on putting numbers in order (greater than or less than).</w:t>
      </w:r>
    </w:p>
    <w:p w:rsidR="00BA364B" w:rsidRDefault="00BA364B" w:rsidP="00BA364B">
      <w:pPr>
        <w:pStyle w:val="ListParagraph"/>
        <w:numPr>
          <w:ilvl w:val="0"/>
          <w:numId w:val="1"/>
        </w:numPr>
      </w:pPr>
      <w:r>
        <w:t>You may not ask questions which refer to the location of the number on the display showing the possibilities.</w:t>
      </w:r>
    </w:p>
    <w:p w:rsidR="00BA364B" w:rsidRDefault="00BA364B" w:rsidP="00BA364B">
      <w:pPr>
        <w:pStyle w:val="ListParagraph"/>
        <w:numPr>
          <w:ilvl w:val="0"/>
          <w:numId w:val="1"/>
        </w:numPr>
      </w:pPr>
      <w:r>
        <w:t>Answer all questions based on the form on of the number on the questioner’s card.</w:t>
      </w:r>
    </w:p>
    <w:p w:rsidR="00BA364B" w:rsidRDefault="00BA364B" w:rsidP="00BA364B">
      <w:pPr>
        <w:pStyle w:val="ListParagraph"/>
        <w:numPr>
          <w:ilvl w:val="0"/>
          <w:numId w:val="1"/>
        </w:numPr>
      </w:pPr>
      <w:r>
        <w:t>Record the result of each question on a recording sheet or index card. For example, “It is a fraction.” Or, “It is positive.”</w:t>
      </w:r>
    </w:p>
    <w:p w:rsidR="00BA364B" w:rsidRDefault="00BA364B" w:rsidP="00BA364B">
      <w:pPr>
        <w:pStyle w:val="ListParagraph"/>
        <w:numPr>
          <w:ilvl w:val="0"/>
          <w:numId w:val="1"/>
        </w:numPr>
      </w:pPr>
      <w:r>
        <w:t>When you have identified your mystery number, move the card around to the front of your chest and continue to be available to answer questions until everyone has guessed their mystery number.</w:t>
      </w:r>
      <w:r w:rsidR="007214E6">
        <w:t xml:space="preserve"> </w:t>
      </w:r>
      <w:r w:rsidR="007214E6" w:rsidRPr="007214E6">
        <w:rPr>
          <w:highlight w:val="yellow"/>
        </w:rPr>
        <w:t>Also, go to the SMART board and mark off your number.</w:t>
      </w:r>
    </w:p>
    <w:p w:rsidR="00BA364B" w:rsidRDefault="00BA364B" w:rsidP="00BA364B">
      <w:pPr>
        <w:ind w:left="360"/>
      </w:pPr>
      <w:r>
        <w:t>Note: Variations could include using geometric shapes or vocabulary words instead of numbers. Rules might have to be altered slightly.</w:t>
      </w:r>
    </w:p>
    <w:p w:rsidR="00BA364B" w:rsidRDefault="00BA364B" w:rsidP="00BA364B">
      <w:pPr>
        <w:ind w:left="360"/>
      </w:pPr>
      <w:r>
        <w:t>Note: Brainstorming possible vocabulary words to use in questions will help students focus. Words might include factor, rational number, irrational number, mixed number, simplest form, unit fraction, etc.</w:t>
      </w:r>
    </w:p>
    <w:p w:rsidR="00790EC9" w:rsidRDefault="00790EC9" w:rsidP="00BA364B">
      <w:pPr>
        <w:ind w:left="360"/>
      </w:pPr>
      <w:r>
        <w:t>Note: Take the activity a step further by having the students line up in numerical order, if there are two cards with the same value, have the students stand in front of each other.</w:t>
      </w:r>
    </w:p>
    <w:p w:rsidR="00BA364B" w:rsidRPr="00317596" w:rsidRDefault="00BA364B" w:rsidP="00317596">
      <w:pPr>
        <w:ind w:left="360"/>
        <w:jc w:val="center"/>
        <w:rPr>
          <w:i/>
        </w:rPr>
      </w:pPr>
      <w:r w:rsidRPr="00317596">
        <w:rPr>
          <w:i/>
        </w:rPr>
        <w:t>SAMPLE MYSTERY NUMBERS</w:t>
      </w:r>
    </w:p>
    <w:tbl>
      <w:tblPr>
        <w:tblStyle w:val="TableGrid"/>
        <w:tblW w:w="0" w:type="auto"/>
        <w:tblInd w:w="360" w:type="dxa"/>
        <w:tblLook w:val="04A0" w:firstRow="1" w:lastRow="0" w:firstColumn="1" w:lastColumn="0" w:noHBand="0" w:noVBand="1"/>
      </w:tblPr>
      <w:tblGrid>
        <w:gridCol w:w="1501"/>
        <w:gridCol w:w="1493"/>
        <w:gridCol w:w="1503"/>
        <w:gridCol w:w="1494"/>
        <w:gridCol w:w="1495"/>
        <w:gridCol w:w="1504"/>
      </w:tblGrid>
      <w:tr w:rsidR="00BA364B" w:rsidTr="007214E6">
        <w:tc>
          <w:tcPr>
            <w:tcW w:w="1558" w:type="dxa"/>
            <w:vAlign w:val="center"/>
          </w:tcPr>
          <w:p w:rsidR="00BA364B" w:rsidRDefault="005A2E8E" w:rsidP="007214E6">
            <w:pPr>
              <w:jc w:val="center"/>
            </w:pPr>
            <m:oMathPara>
              <m:oMath>
                <m:rad>
                  <m:radPr>
                    <m:degHide m:val="1"/>
                    <m:ctrlPr>
                      <w:rPr>
                        <w:rFonts w:ascii="Cambria Math" w:hAnsi="Cambria Math"/>
                        <w:i/>
                      </w:rPr>
                    </m:ctrlPr>
                  </m:radPr>
                  <m:deg/>
                  <m:e>
                    <m:r>
                      <w:rPr>
                        <w:rFonts w:ascii="Cambria Math" w:hAnsi="Cambria Math"/>
                      </w:rPr>
                      <m:t>2</m:t>
                    </m:r>
                  </m:e>
                </m:rad>
              </m:oMath>
            </m:oMathPara>
          </w:p>
        </w:tc>
        <w:tc>
          <w:tcPr>
            <w:tcW w:w="1558" w:type="dxa"/>
            <w:vAlign w:val="center"/>
          </w:tcPr>
          <w:p w:rsidR="00BA364B" w:rsidRDefault="00BA364B" w:rsidP="007214E6">
            <w:pPr>
              <w:jc w:val="center"/>
            </w:pPr>
            <m:oMathPara>
              <m:oMath>
                <m:r>
                  <w:rPr>
                    <w:rFonts w:ascii="Cambria Math" w:hAnsi="Cambria Math"/>
                  </w:rPr>
                  <m:t>π</m:t>
                </m:r>
              </m:oMath>
            </m:oMathPara>
          </w:p>
        </w:tc>
        <w:tc>
          <w:tcPr>
            <w:tcW w:w="1558" w:type="dxa"/>
            <w:vAlign w:val="center"/>
          </w:tcPr>
          <w:p w:rsidR="00BA364B" w:rsidRDefault="00BA364B" w:rsidP="007214E6">
            <w:pPr>
              <w:jc w:val="center"/>
            </w:pPr>
            <m:oMathPara>
              <m:oMath>
                <m:r>
                  <w:rPr>
                    <w:rFonts w:ascii="Cambria Math" w:hAnsi="Cambria Math"/>
                  </w:rPr>
                  <m:t>250%</m:t>
                </m:r>
              </m:oMath>
            </m:oMathPara>
          </w:p>
        </w:tc>
        <w:tc>
          <w:tcPr>
            <w:tcW w:w="1558" w:type="dxa"/>
            <w:vAlign w:val="center"/>
          </w:tcPr>
          <w:p w:rsidR="00BA364B" w:rsidRDefault="00BA364B" w:rsidP="007214E6">
            <w:pPr>
              <w:jc w:val="center"/>
            </w:pPr>
            <m:oMathPara>
              <m:oMath>
                <m:r>
                  <w:rPr>
                    <w:rFonts w:ascii="Cambria Math" w:hAnsi="Cambria Math"/>
                  </w:rPr>
                  <m:t>8</m:t>
                </m:r>
              </m:oMath>
            </m:oMathPara>
          </w:p>
        </w:tc>
        <w:tc>
          <w:tcPr>
            <w:tcW w:w="1559" w:type="dxa"/>
            <w:vAlign w:val="center"/>
          </w:tcPr>
          <w:p w:rsidR="00BA364B" w:rsidRDefault="00BA364B" w:rsidP="007214E6">
            <w:pPr>
              <w:jc w:val="center"/>
            </w:pPr>
            <m:oMathPara>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oMath>
            </m:oMathPara>
          </w:p>
        </w:tc>
        <w:tc>
          <w:tcPr>
            <w:tcW w:w="1559" w:type="dxa"/>
            <w:vAlign w:val="center"/>
          </w:tcPr>
          <w:p w:rsidR="00BA364B" w:rsidRDefault="00BA364B" w:rsidP="007214E6">
            <w:pPr>
              <w:jc w:val="center"/>
            </w:pPr>
            <m:oMathPara>
              <m:oMath>
                <m:r>
                  <w:rPr>
                    <w:rFonts w:ascii="Cambria Math" w:hAnsi="Cambria Math"/>
                  </w:rPr>
                  <m:t>-0.33</m:t>
                </m:r>
              </m:oMath>
            </m:oMathPara>
          </w:p>
        </w:tc>
      </w:tr>
      <w:tr w:rsidR="00BA364B" w:rsidTr="007214E6">
        <w:tc>
          <w:tcPr>
            <w:tcW w:w="1558" w:type="dxa"/>
            <w:vAlign w:val="center"/>
          </w:tcPr>
          <w:p w:rsidR="00BA364B" w:rsidRDefault="00BA364B" w:rsidP="007214E6">
            <w:pPr>
              <w:jc w:val="center"/>
            </w:pPr>
            <m:oMathPara>
              <m:oMath>
                <m:r>
                  <w:rPr>
                    <w:rFonts w:ascii="Cambria Math" w:hAnsi="Cambria Math"/>
                  </w:rPr>
                  <m:t>0.625</m:t>
                </m:r>
              </m:oMath>
            </m:oMathPara>
          </w:p>
        </w:tc>
        <w:tc>
          <w:tcPr>
            <w:tcW w:w="1558" w:type="dxa"/>
            <w:vAlign w:val="center"/>
          </w:tcPr>
          <w:p w:rsidR="00BA364B" w:rsidRDefault="00BA364B" w:rsidP="007214E6">
            <w:pPr>
              <w:jc w:val="center"/>
            </w:pPr>
            <m:oMathPara>
              <m:oMath>
                <m:r>
                  <w:rPr>
                    <w:rFonts w:ascii="Cambria Math" w:hAnsi="Cambria Math"/>
                  </w:rPr>
                  <m:t>9</m:t>
                </m:r>
              </m:oMath>
            </m:oMathPara>
          </w:p>
        </w:tc>
        <w:tc>
          <w:tcPr>
            <w:tcW w:w="1558" w:type="dxa"/>
            <w:vAlign w:val="center"/>
          </w:tcPr>
          <w:p w:rsidR="00BA364B" w:rsidRDefault="00BA364B" w:rsidP="007214E6">
            <w:pPr>
              <w:jc w:val="center"/>
            </w:pPr>
            <m:oMathPara>
              <m:oMath>
                <m:r>
                  <w:rPr>
                    <w:rFonts w:ascii="Cambria Math" w:hAnsi="Cambria Math"/>
                  </w:rPr>
                  <m:t>-0.01</m:t>
                </m:r>
              </m:oMath>
            </m:oMathPara>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9</m:t>
                    </m:r>
                  </m:num>
                  <m:den>
                    <m:r>
                      <w:rPr>
                        <w:rFonts w:ascii="Cambria Math" w:hAnsi="Cambria Math"/>
                      </w:rPr>
                      <m:t>12</m:t>
                    </m:r>
                  </m:den>
                </m:f>
              </m:oMath>
            </m:oMathPara>
          </w:p>
        </w:tc>
        <w:tc>
          <w:tcPr>
            <w:tcW w:w="1559" w:type="dxa"/>
            <w:vAlign w:val="center"/>
          </w:tcPr>
          <w:p w:rsidR="00BA364B" w:rsidRDefault="005A2E8E" w:rsidP="007214E6">
            <w:pPr>
              <w:jc w:val="center"/>
            </w:pPr>
            <m:oMathPara>
              <m:oMath>
                <m:rad>
                  <m:radPr>
                    <m:degHide m:val="1"/>
                    <m:ctrlPr>
                      <w:rPr>
                        <w:rFonts w:ascii="Cambria Math" w:hAnsi="Cambria Math"/>
                        <w:i/>
                      </w:rPr>
                    </m:ctrlPr>
                  </m:radPr>
                  <m:deg/>
                  <m:e>
                    <m:r>
                      <w:rPr>
                        <w:rFonts w:ascii="Cambria Math" w:hAnsi="Cambria Math"/>
                      </w:rPr>
                      <m:t>9</m:t>
                    </m:r>
                  </m:e>
                </m:rad>
              </m:oMath>
            </m:oMathPara>
          </w:p>
        </w:tc>
        <w:tc>
          <w:tcPr>
            <w:tcW w:w="1559" w:type="dxa"/>
            <w:vAlign w:val="center"/>
          </w:tcPr>
          <w:p w:rsidR="00BA364B" w:rsidRDefault="00BA364B" w:rsidP="007214E6">
            <w:pPr>
              <w:jc w:val="center"/>
            </w:pPr>
            <m:oMathPara>
              <m:oMath>
                <m:r>
                  <w:rPr>
                    <w:rFonts w:ascii="Cambria Math" w:hAnsi="Cambria Math"/>
                  </w:rPr>
                  <m:t>-1</m:t>
                </m:r>
              </m:oMath>
            </m:oMathPara>
          </w:p>
        </w:tc>
      </w:tr>
      <w:tr w:rsidR="00BA364B" w:rsidTr="007214E6">
        <w:tc>
          <w:tcPr>
            <w:tcW w:w="1558" w:type="dxa"/>
            <w:vAlign w:val="center"/>
          </w:tcPr>
          <w:p w:rsidR="00BA364B" w:rsidRDefault="00BA364B" w:rsidP="007214E6">
            <w:pPr>
              <w:jc w:val="center"/>
            </w:pPr>
            <m:oMathPara>
              <m:oMath>
                <m:r>
                  <w:rPr>
                    <w:rFonts w:ascii="Cambria Math" w:hAnsi="Cambria Math"/>
                  </w:rPr>
                  <m:t>1%</m:t>
                </m:r>
              </m:oMath>
            </m:oMathPara>
          </w:p>
        </w:tc>
        <w:tc>
          <w:tcPr>
            <w:tcW w:w="1558" w:type="dxa"/>
            <w:vAlign w:val="center"/>
          </w:tcPr>
          <w:p w:rsidR="00BA364B" w:rsidRDefault="00BA364B" w:rsidP="007214E6">
            <w:pPr>
              <w:jc w:val="center"/>
            </w:pPr>
            <m:oMathPara>
              <m:oMath>
                <m:r>
                  <w:rPr>
                    <w:rFonts w:ascii="Cambria Math" w:hAnsi="Cambria Math"/>
                  </w:rPr>
                  <m:t>3.14</m:t>
                </m:r>
              </m:oMath>
            </m:oMathPara>
          </w:p>
        </w:tc>
        <w:tc>
          <w:tcPr>
            <w:tcW w:w="1558" w:type="dxa"/>
            <w:vAlign w:val="center"/>
          </w:tcPr>
          <w:p w:rsidR="00BA364B" w:rsidRDefault="005A2E8E" w:rsidP="007214E6">
            <w:pPr>
              <w:jc w:val="center"/>
            </w:pPr>
            <m:oMath>
              <m:f>
                <m:fPr>
                  <m:ctrlPr>
                    <w:rPr>
                      <w:rFonts w:ascii="Cambria Math" w:hAnsi="Cambria Math"/>
                      <w:i/>
                    </w:rPr>
                  </m:ctrlPr>
                </m:fPr>
                <m:num>
                  <m:r>
                    <w:rPr>
                      <w:rFonts w:ascii="Cambria Math" w:hAnsi="Cambria Math"/>
                    </w:rPr>
                    <m:t>22</m:t>
                  </m:r>
                </m:num>
                <m:den>
                  <m:r>
                    <w:rPr>
                      <w:rFonts w:ascii="Cambria Math" w:hAnsi="Cambria Math"/>
                    </w:rPr>
                    <m:t>7</m:t>
                  </m:r>
                </m:den>
              </m:f>
            </m:oMath>
            <w:r w:rsidR="007214E6">
              <w:rPr>
                <w:rFonts w:eastAsiaTheme="minorEastAsia"/>
              </w:rPr>
              <w:t xml:space="preserve"> </w:t>
            </w:r>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7</m:t>
                    </m:r>
                  </m:num>
                  <m:den>
                    <m:r>
                      <w:rPr>
                        <w:rFonts w:ascii="Cambria Math" w:hAnsi="Cambria Math"/>
                      </w:rPr>
                      <m:t>4</m:t>
                    </m:r>
                  </m:den>
                </m:f>
              </m:oMath>
            </m:oMathPara>
          </w:p>
        </w:tc>
        <w:tc>
          <w:tcPr>
            <w:tcW w:w="1559" w:type="dxa"/>
            <w:vAlign w:val="center"/>
          </w:tcPr>
          <w:p w:rsidR="00BA364B" w:rsidRDefault="00BA364B" w:rsidP="007214E6">
            <w:pPr>
              <w:jc w:val="center"/>
            </w:pPr>
            <m:oMathPara>
              <m:oMath>
                <m:r>
                  <w:rPr>
                    <w:rFonts w:ascii="Cambria Math" w:hAnsi="Cambria Math"/>
                  </w:rPr>
                  <m:t>-</m:t>
                </m:r>
                <m:f>
                  <m:fPr>
                    <m:ctrlPr>
                      <w:rPr>
                        <w:rFonts w:ascii="Cambria Math" w:hAnsi="Cambria Math"/>
                        <w:i/>
                      </w:rPr>
                    </m:ctrlPr>
                  </m:fPr>
                  <m:num>
                    <m:r>
                      <w:rPr>
                        <w:rFonts w:ascii="Cambria Math" w:hAnsi="Cambria Math"/>
                      </w:rPr>
                      <m:t>9</m:t>
                    </m:r>
                  </m:num>
                  <m:den>
                    <m:r>
                      <w:rPr>
                        <w:rFonts w:ascii="Cambria Math" w:hAnsi="Cambria Math"/>
                      </w:rPr>
                      <m:t>4</m:t>
                    </m:r>
                  </m:den>
                </m:f>
              </m:oMath>
            </m:oMathPara>
          </w:p>
        </w:tc>
        <w:tc>
          <w:tcPr>
            <w:tcW w:w="1559" w:type="dxa"/>
            <w:vAlign w:val="center"/>
          </w:tcPr>
          <w:p w:rsidR="00BA364B" w:rsidRDefault="00BA364B" w:rsidP="007214E6">
            <w:pPr>
              <w:jc w:val="center"/>
            </w:pPr>
            <m:oMathPara>
              <m:oMath>
                <m:r>
                  <w:rPr>
                    <w:rFonts w:ascii="Cambria Math" w:hAnsi="Cambria Math"/>
                  </w:rPr>
                  <m:t>7</m:t>
                </m:r>
              </m:oMath>
            </m:oMathPara>
          </w:p>
        </w:tc>
      </w:tr>
      <w:tr w:rsidR="00BA364B" w:rsidTr="007214E6">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π</m:t>
                    </m:r>
                  </m:num>
                  <m:den>
                    <m:r>
                      <w:rPr>
                        <w:rFonts w:ascii="Cambria Math" w:hAnsi="Cambria Math"/>
                      </w:rPr>
                      <m:t>2</m:t>
                    </m:r>
                  </m:den>
                </m:f>
              </m:oMath>
            </m:oMathPara>
          </w:p>
        </w:tc>
        <w:tc>
          <w:tcPr>
            <w:tcW w:w="1558" w:type="dxa"/>
            <w:vAlign w:val="center"/>
          </w:tcPr>
          <w:p w:rsidR="00BA364B" w:rsidRDefault="00BA364B" w:rsidP="007214E6">
            <w:pPr>
              <w:jc w:val="center"/>
            </w:pPr>
            <m:oMathPara>
              <m:oMath>
                <m:r>
                  <w:rPr>
                    <w:rFonts w:ascii="Cambria Math" w:hAnsi="Cambria Math"/>
                  </w:rPr>
                  <m:t>-</m:t>
                </m:r>
                <m:rad>
                  <m:radPr>
                    <m:degHide m:val="1"/>
                    <m:ctrlPr>
                      <w:rPr>
                        <w:rFonts w:ascii="Cambria Math" w:hAnsi="Cambria Math"/>
                        <w:i/>
                      </w:rPr>
                    </m:ctrlPr>
                  </m:radPr>
                  <m:deg/>
                  <m:e>
                    <m:r>
                      <w:rPr>
                        <w:rFonts w:ascii="Cambria Math" w:hAnsi="Cambria Math"/>
                      </w:rPr>
                      <m:t>5</m:t>
                    </m:r>
                  </m:e>
                </m:rad>
              </m:oMath>
            </m:oMathPara>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29</m:t>
                    </m:r>
                  </m:num>
                  <m:den>
                    <m:r>
                      <w:rPr>
                        <w:rFonts w:ascii="Cambria Math" w:hAnsi="Cambria Math"/>
                      </w:rPr>
                      <m:t>3</m:t>
                    </m:r>
                  </m:den>
                </m:f>
              </m:oMath>
            </m:oMathPara>
          </w:p>
        </w:tc>
        <w:tc>
          <w:tcPr>
            <w:tcW w:w="1558" w:type="dxa"/>
            <w:vAlign w:val="center"/>
          </w:tcPr>
          <w:p w:rsidR="00BA364B" w:rsidRDefault="00BA364B" w:rsidP="007214E6">
            <w:pPr>
              <w:jc w:val="center"/>
            </w:pPr>
            <m:oMathPara>
              <m:oMath>
                <m:r>
                  <w:rPr>
                    <w:rFonts w:ascii="Cambria Math" w:hAnsi="Cambria Math"/>
                  </w:rPr>
                  <m:t>0.08</m:t>
                </m:r>
              </m:oMath>
            </m:oMathPara>
          </w:p>
        </w:tc>
        <w:tc>
          <w:tcPr>
            <w:tcW w:w="1559" w:type="dxa"/>
            <w:vAlign w:val="center"/>
          </w:tcPr>
          <w:p w:rsidR="00BA364B" w:rsidRDefault="00BA364B" w:rsidP="007214E6">
            <w:pPr>
              <w:jc w:val="center"/>
            </w:pPr>
            <m:oMathPara>
              <m:oMath>
                <m:r>
                  <w:rPr>
                    <w:rFonts w:ascii="Cambria Math" w:hAnsi="Cambria Math"/>
                  </w:rPr>
                  <m:t>50%</m:t>
                </m:r>
              </m:oMath>
            </m:oMathPara>
          </w:p>
        </w:tc>
        <w:tc>
          <w:tcPr>
            <w:tcW w:w="1559" w:type="dxa"/>
            <w:vAlign w:val="center"/>
          </w:tcPr>
          <w:p w:rsidR="00BA364B" w:rsidRDefault="00BA364B" w:rsidP="007214E6">
            <w:pPr>
              <w:jc w:val="center"/>
            </w:pPr>
            <m:oMathPara>
              <m:oMath>
                <m:r>
                  <w:rPr>
                    <w:rFonts w:ascii="Cambria Math" w:hAnsi="Cambria Math"/>
                  </w:rPr>
                  <m:t>3%</m:t>
                </m:r>
              </m:oMath>
            </m:oMathPara>
          </w:p>
        </w:tc>
      </w:tr>
      <w:tr w:rsidR="00BA364B" w:rsidTr="007214E6">
        <w:tc>
          <w:tcPr>
            <w:tcW w:w="1558" w:type="dxa"/>
            <w:vAlign w:val="center"/>
          </w:tcPr>
          <w:p w:rsidR="00BA364B" w:rsidRDefault="00BA364B" w:rsidP="007214E6">
            <w:pPr>
              <w:jc w:val="center"/>
            </w:pPr>
            <m:oMathPara>
              <m:oMath>
                <m:r>
                  <w:rPr>
                    <w:rFonts w:ascii="Cambria Math" w:hAnsi="Cambria Math"/>
                  </w:rPr>
                  <m:t>-5</m:t>
                </m:r>
              </m:oMath>
            </m:oMathPara>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15</m:t>
                    </m:r>
                  </m:num>
                  <m:den>
                    <m:r>
                      <w:rPr>
                        <w:rFonts w:ascii="Cambria Math" w:hAnsi="Cambria Math"/>
                      </w:rPr>
                      <m:t>2</m:t>
                    </m:r>
                  </m:den>
                </m:f>
              </m:oMath>
            </m:oMathPara>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1</m:t>
                    </m:r>
                  </m:num>
                  <m:den>
                    <m:r>
                      <w:rPr>
                        <w:rFonts w:ascii="Cambria Math" w:hAnsi="Cambria Math"/>
                      </w:rPr>
                      <m:t>12</m:t>
                    </m:r>
                  </m:den>
                </m:f>
              </m:oMath>
            </m:oMathPara>
          </w:p>
        </w:tc>
        <w:tc>
          <w:tcPr>
            <w:tcW w:w="1558" w:type="dxa"/>
            <w:vAlign w:val="center"/>
          </w:tcPr>
          <w:p w:rsidR="00BA364B" w:rsidRDefault="00BA364B" w:rsidP="007214E6">
            <w:pPr>
              <w:jc w:val="center"/>
            </w:pPr>
            <m:oMathPara>
              <m:oMath>
                <m:r>
                  <w:rPr>
                    <w:rFonts w:ascii="Cambria Math" w:hAnsi="Cambria Math"/>
                  </w:rPr>
                  <m:t>-6</m:t>
                </m:r>
              </m:oMath>
            </m:oMathPara>
          </w:p>
        </w:tc>
        <w:tc>
          <w:tcPr>
            <w:tcW w:w="1559" w:type="dxa"/>
            <w:vAlign w:val="center"/>
          </w:tcPr>
          <w:p w:rsidR="00BA364B" w:rsidRDefault="00BA364B" w:rsidP="007214E6">
            <w:pPr>
              <w:jc w:val="center"/>
            </w:pPr>
            <m:oMathPara>
              <m:oMath>
                <m:r>
                  <w:rPr>
                    <w:rFonts w:ascii="Cambria Math" w:hAnsi="Cambria Math"/>
                  </w:rPr>
                  <m:t>-</m:t>
                </m:r>
                <m:rad>
                  <m:radPr>
                    <m:degHide m:val="1"/>
                    <m:ctrlPr>
                      <w:rPr>
                        <w:rFonts w:ascii="Cambria Math" w:hAnsi="Cambria Math"/>
                        <w:i/>
                      </w:rPr>
                    </m:ctrlPr>
                  </m:radPr>
                  <m:deg/>
                  <m:e>
                    <m:r>
                      <w:rPr>
                        <w:rFonts w:ascii="Cambria Math" w:hAnsi="Cambria Math"/>
                      </w:rPr>
                      <m:t>4</m:t>
                    </m:r>
                  </m:e>
                </m:rad>
              </m:oMath>
            </m:oMathPara>
          </w:p>
        </w:tc>
        <w:tc>
          <w:tcPr>
            <w:tcW w:w="1559" w:type="dxa"/>
            <w:vAlign w:val="center"/>
          </w:tcPr>
          <w:p w:rsidR="00BA364B" w:rsidRDefault="00BA364B" w:rsidP="007214E6">
            <w:pPr>
              <w:jc w:val="center"/>
            </w:pPr>
            <m:oMathPara>
              <m:oMath>
                <m:r>
                  <w:rPr>
                    <w:rFonts w:ascii="Cambria Math" w:hAnsi="Cambria Math"/>
                  </w:rPr>
                  <m:t>-8</m:t>
                </m:r>
              </m:oMath>
            </m:oMathPara>
          </w:p>
        </w:tc>
      </w:tr>
      <w:tr w:rsidR="00BA364B" w:rsidTr="007214E6">
        <w:tc>
          <w:tcPr>
            <w:tcW w:w="1558" w:type="dxa"/>
            <w:vAlign w:val="center"/>
          </w:tcPr>
          <w:p w:rsidR="00BA364B" w:rsidRDefault="00BA364B" w:rsidP="007214E6">
            <w:pPr>
              <w:jc w:val="center"/>
            </w:pPr>
            <m:oMathPara>
              <m:oMath>
                <m:r>
                  <w:rPr>
                    <w:rFonts w:ascii="Cambria Math" w:hAnsi="Cambria Math"/>
                  </w:rPr>
                  <m:t>-5.6</m:t>
                </m:r>
              </m:oMath>
            </m:oMathPara>
          </w:p>
        </w:tc>
        <w:tc>
          <w:tcPr>
            <w:tcW w:w="1558"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3</m:t>
                    </m:r>
                  </m:num>
                  <m:den>
                    <m:r>
                      <w:rPr>
                        <w:rFonts w:ascii="Cambria Math" w:hAnsi="Cambria Math"/>
                      </w:rPr>
                      <m:t>8</m:t>
                    </m:r>
                  </m:den>
                </m:f>
              </m:oMath>
            </m:oMathPara>
          </w:p>
        </w:tc>
        <w:tc>
          <w:tcPr>
            <w:tcW w:w="1558" w:type="dxa"/>
            <w:vAlign w:val="center"/>
          </w:tcPr>
          <w:p w:rsidR="00BA364B" w:rsidRDefault="00BA364B" w:rsidP="007214E6">
            <w:pPr>
              <w:jc w:val="center"/>
            </w:pPr>
            <m:oMathPara>
              <m:oMath>
                <m:r>
                  <w:rPr>
                    <w:rFonts w:ascii="Cambria Math" w:hAnsi="Cambria Math"/>
                  </w:rPr>
                  <m:t>35%</m:t>
                </m:r>
              </m:oMath>
            </m:oMathPara>
          </w:p>
        </w:tc>
        <w:tc>
          <w:tcPr>
            <w:tcW w:w="1558" w:type="dxa"/>
            <w:vAlign w:val="center"/>
          </w:tcPr>
          <w:p w:rsidR="00BA364B" w:rsidRDefault="00BA364B" w:rsidP="007214E6">
            <w:pPr>
              <w:jc w:val="center"/>
            </w:pPr>
            <m:oMathPara>
              <m:oMath>
                <m:r>
                  <w:rPr>
                    <w:rFonts w:ascii="Cambria Math" w:hAnsi="Cambria Math"/>
                  </w:rPr>
                  <m:t>20%</m:t>
                </m:r>
              </m:oMath>
            </m:oMathPara>
          </w:p>
        </w:tc>
        <w:tc>
          <w:tcPr>
            <w:tcW w:w="1559"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9</m:t>
                    </m:r>
                  </m:num>
                  <m:den>
                    <m:r>
                      <w:rPr>
                        <w:rFonts w:ascii="Cambria Math" w:hAnsi="Cambria Math"/>
                      </w:rPr>
                      <m:t>2</m:t>
                    </m:r>
                  </m:den>
                </m:f>
              </m:oMath>
            </m:oMathPara>
          </w:p>
        </w:tc>
        <w:tc>
          <w:tcPr>
            <w:tcW w:w="1559" w:type="dxa"/>
            <w:vAlign w:val="center"/>
          </w:tcPr>
          <w:p w:rsidR="00BA364B" w:rsidRDefault="005A2E8E" w:rsidP="007214E6">
            <w:pPr>
              <w:jc w:val="center"/>
            </w:pPr>
            <m:oMathPara>
              <m:oMath>
                <m:f>
                  <m:fPr>
                    <m:ctrlPr>
                      <w:rPr>
                        <w:rFonts w:ascii="Cambria Math" w:hAnsi="Cambria Math"/>
                        <w:i/>
                      </w:rPr>
                    </m:ctrlPr>
                  </m:fPr>
                  <m:num>
                    <m:r>
                      <w:rPr>
                        <w:rFonts w:ascii="Cambria Math" w:hAnsi="Cambria Math"/>
                      </w:rPr>
                      <m:t>5</m:t>
                    </m:r>
                  </m:num>
                  <m:den>
                    <m:r>
                      <w:rPr>
                        <w:rFonts w:ascii="Cambria Math" w:hAnsi="Cambria Math"/>
                      </w:rPr>
                      <m:t>9</m:t>
                    </m:r>
                  </m:den>
                </m:f>
              </m:oMath>
            </m:oMathPara>
          </w:p>
        </w:tc>
      </w:tr>
    </w:tbl>
    <w:p w:rsidR="00BA364B" w:rsidRDefault="00BA364B" w:rsidP="00BA364B">
      <w:pPr>
        <w:ind w:left="360"/>
      </w:pPr>
    </w:p>
    <w:sectPr w:rsidR="00BA36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15E"/>
    <w:multiLevelType w:val="hybridMultilevel"/>
    <w:tmpl w:val="70E6B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64B"/>
    <w:rsid w:val="00317596"/>
    <w:rsid w:val="00357268"/>
    <w:rsid w:val="005A2E8E"/>
    <w:rsid w:val="0063604F"/>
    <w:rsid w:val="007214E6"/>
    <w:rsid w:val="00790EC9"/>
    <w:rsid w:val="008A7C8C"/>
    <w:rsid w:val="00BA364B"/>
    <w:rsid w:val="00BF3842"/>
    <w:rsid w:val="00EC3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C459"/>
  <w15:chartTrackingRefBased/>
  <w15:docId w15:val="{36707B06-546A-4AA1-B121-72E7C33FA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64B"/>
    <w:pPr>
      <w:ind w:left="720"/>
      <w:contextualSpacing/>
    </w:pPr>
  </w:style>
  <w:style w:type="table" w:styleId="TableGrid">
    <w:name w:val="Table Grid"/>
    <w:basedOn w:val="TableNormal"/>
    <w:uiPriority w:val="39"/>
    <w:rsid w:val="00BA3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A364B"/>
    <w:rPr>
      <w:color w:val="808080"/>
    </w:rPr>
  </w:style>
  <w:style w:type="paragraph" w:styleId="BalloonText">
    <w:name w:val="Balloon Text"/>
    <w:basedOn w:val="Normal"/>
    <w:link w:val="BalloonTextChar"/>
    <w:uiPriority w:val="99"/>
    <w:semiHidden/>
    <w:unhideWhenUsed/>
    <w:rsid w:val="00EC3D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D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Kinman, Sarah</dc:creator>
  <cp:keywords/>
  <dc:description/>
  <cp:lastModifiedBy>Kinman, Sarah</cp:lastModifiedBy>
  <cp:revision>6</cp:revision>
  <cp:lastPrinted>2018-08-18T14:37:00Z</cp:lastPrinted>
  <dcterms:created xsi:type="dcterms:W3CDTF">2018-08-18T14:15:00Z</dcterms:created>
  <dcterms:modified xsi:type="dcterms:W3CDTF">2018-08-18T14:47:00Z</dcterms:modified>
</cp:coreProperties>
</file>